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192"/>
        <w:gridCol w:w="3192"/>
        <w:gridCol w:w="3192"/>
      </w:tblGrid>
      <w:tr w:rsidR="00FB5EE3" w:rsidTr="00FB5EE3">
        <w:tc>
          <w:tcPr>
            <w:tcW w:w="3192" w:type="dxa"/>
          </w:tcPr>
          <w:p w:rsidR="00FB5EE3" w:rsidRPr="00B46525" w:rsidRDefault="00FB5EE3">
            <w:pPr>
              <w:rPr>
                <w:b/>
              </w:rPr>
            </w:pPr>
            <w:r w:rsidRPr="00B46525">
              <w:rPr>
                <w:b/>
              </w:rPr>
              <w:t>Article</w:t>
            </w:r>
          </w:p>
        </w:tc>
        <w:tc>
          <w:tcPr>
            <w:tcW w:w="3192" w:type="dxa"/>
          </w:tcPr>
          <w:p w:rsidR="00FB5EE3" w:rsidRPr="00B46525" w:rsidRDefault="00FB5EE3">
            <w:pPr>
              <w:rPr>
                <w:b/>
              </w:rPr>
            </w:pPr>
            <w:r w:rsidRPr="00B46525">
              <w:rPr>
                <w:b/>
              </w:rPr>
              <w:t>Concerns</w:t>
            </w:r>
          </w:p>
        </w:tc>
        <w:tc>
          <w:tcPr>
            <w:tcW w:w="3192" w:type="dxa"/>
          </w:tcPr>
          <w:p w:rsidR="00FB5EE3" w:rsidRPr="00B46525" w:rsidRDefault="00FB5EE3">
            <w:pPr>
              <w:rPr>
                <w:b/>
              </w:rPr>
            </w:pPr>
            <w:r w:rsidRPr="00B46525">
              <w:rPr>
                <w:b/>
              </w:rPr>
              <w:t>Recommendations/Alternate text</w:t>
            </w:r>
          </w:p>
        </w:tc>
      </w:tr>
      <w:tr w:rsidR="00FB5EE3" w:rsidTr="00FB5EE3">
        <w:tc>
          <w:tcPr>
            <w:tcW w:w="3192" w:type="dxa"/>
          </w:tcPr>
          <w:p w:rsidR="00FB5EE3" w:rsidRDefault="00FB5EE3" w:rsidP="00FB5EE3">
            <w:pPr>
              <w:rPr>
                <w:b/>
              </w:rPr>
            </w:pPr>
          </w:p>
          <w:p w:rsidR="00FB5EE3" w:rsidRDefault="00FB5EE3" w:rsidP="00FB5EE3">
            <w:pPr>
              <w:rPr>
                <w:b/>
              </w:rPr>
            </w:pPr>
            <w:r w:rsidRPr="00D9524E">
              <w:rPr>
                <w:b/>
              </w:rPr>
              <w:t xml:space="preserve">Section III: </w:t>
            </w:r>
          </w:p>
          <w:p w:rsidR="00FB5EE3" w:rsidRPr="00D9524E" w:rsidRDefault="00FB5EE3" w:rsidP="00FB5EE3">
            <w:pPr>
              <w:rPr>
                <w:b/>
              </w:rPr>
            </w:pPr>
            <w:r w:rsidRPr="00D9524E">
              <w:rPr>
                <w:b/>
              </w:rPr>
              <w:t xml:space="preserve">Publicity by electronic means </w:t>
            </w:r>
          </w:p>
          <w:p w:rsidR="00FB5EE3" w:rsidRDefault="00FB5EE3"/>
        </w:tc>
        <w:tc>
          <w:tcPr>
            <w:tcW w:w="3192" w:type="dxa"/>
          </w:tcPr>
          <w:p w:rsidR="00FB5EE3" w:rsidRDefault="00FB5EE3"/>
        </w:tc>
        <w:tc>
          <w:tcPr>
            <w:tcW w:w="3192" w:type="dxa"/>
          </w:tcPr>
          <w:p w:rsidR="00FB5EE3" w:rsidRDefault="00FB5EE3"/>
        </w:tc>
      </w:tr>
      <w:tr w:rsidR="00FB5EE3" w:rsidTr="00FB5EE3">
        <w:tc>
          <w:tcPr>
            <w:tcW w:w="3192" w:type="dxa"/>
          </w:tcPr>
          <w:p w:rsidR="00B46525" w:rsidRDefault="00B46525" w:rsidP="00FB5EE3">
            <w:pPr>
              <w:rPr>
                <w:b/>
              </w:rPr>
            </w:pPr>
          </w:p>
          <w:p w:rsidR="00FB5EE3" w:rsidRPr="00D9524E" w:rsidRDefault="00FB5EE3" w:rsidP="00FB5EE3">
            <w:pPr>
              <w:rPr>
                <w:b/>
              </w:rPr>
            </w:pPr>
            <w:r w:rsidRPr="00D9524E">
              <w:rPr>
                <w:b/>
              </w:rPr>
              <w:t xml:space="preserve">Article I – 7: </w:t>
            </w:r>
          </w:p>
          <w:p w:rsidR="00FB5EE3" w:rsidRPr="00D9524E" w:rsidRDefault="00FB5EE3" w:rsidP="00FB5EE3">
            <w:pPr>
              <w:rPr>
                <w:i/>
              </w:rPr>
            </w:pPr>
            <w:r w:rsidRPr="00D9524E">
              <w:rPr>
                <w:i/>
              </w:rPr>
              <w:t xml:space="preserve"> Without prejudice to Article I-4 any advertising action, irrespective of its form, accessible through online communication service, shall be clearly identified as such. It shall clearly identify the individual or corporate body on behalf of</w:t>
            </w:r>
            <w:r w:rsidR="00B46525">
              <w:rPr>
                <w:i/>
              </w:rPr>
              <w:t xml:space="preserve"> whom it is undertaken. </w:t>
            </w:r>
          </w:p>
          <w:p w:rsidR="00FB5EE3" w:rsidRDefault="00FB5EE3"/>
        </w:tc>
        <w:tc>
          <w:tcPr>
            <w:tcW w:w="3192" w:type="dxa"/>
          </w:tcPr>
          <w:p w:rsidR="001A5E90" w:rsidRDefault="001A5E90" w:rsidP="001A5E90">
            <w:pPr>
              <w:shd w:val="clear" w:color="auto" w:fill="FFFFFF"/>
              <w:spacing w:line="315" w:lineRule="atLeast"/>
              <w:rPr>
                <w:rFonts w:ascii="Calibri" w:eastAsia="Times New Roman" w:hAnsi="Calibri" w:cs="Times New Roman"/>
                <w:color w:val="444444"/>
                <w:sz w:val="23"/>
                <w:szCs w:val="23"/>
              </w:rPr>
            </w:pPr>
            <w:r w:rsidRPr="001A5E90">
              <w:rPr>
                <w:rFonts w:ascii="Calibri" w:eastAsia="Times New Roman" w:hAnsi="Calibri" w:cs="Times New Roman"/>
                <w:color w:val="444444"/>
                <w:sz w:val="23"/>
              </w:rPr>
              <w:t> </w:t>
            </w:r>
          </w:p>
          <w:p w:rsidR="00FB5EE3" w:rsidRDefault="00FB5EE3" w:rsidP="001A5E90">
            <w:pPr>
              <w:shd w:val="clear" w:color="auto" w:fill="FFFFFF"/>
              <w:spacing w:line="315" w:lineRule="atLeast"/>
            </w:pPr>
          </w:p>
        </w:tc>
        <w:tc>
          <w:tcPr>
            <w:tcW w:w="3192" w:type="dxa"/>
          </w:tcPr>
          <w:p w:rsidR="00FB5EE3" w:rsidRDefault="00FB5EE3"/>
        </w:tc>
      </w:tr>
      <w:tr w:rsidR="00FB5EE3" w:rsidTr="00FB5EE3">
        <w:tc>
          <w:tcPr>
            <w:tcW w:w="3192" w:type="dxa"/>
          </w:tcPr>
          <w:p w:rsidR="00FB5EE3" w:rsidRDefault="00FB5EE3" w:rsidP="00FB5EE3">
            <w:pPr>
              <w:rPr>
                <w:b/>
              </w:rPr>
            </w:pPr>
          </w:p>
          <w:p w:rsidR="00FB5EE3" w:rsidRPr="00D9524E" w:rsidRDefault="00FB5EE3" w:rsidP="00FB5EE3">
            <w:pPr>
              <w:rPr>
                <w:b/>
              </w:rPr>
            </w:pPr>
            <w:r w:rsidRPr="00D9524E">
              <w:rPr>
                <w:b/>
              </w:rPr>
              <w:t xml:space="preserve">Article I – 8: </w:t>
            </w:r>
          </w:p>
          <w:p w:rsidR="00FB5EE3" w:rsidRDefault="00FB5EE3" w:rsidP="00FB5EE3">
            <w:pPr>
              <w:rPr>
                <w:i/>
              </w:rPr>
            </w:pPr>
            <w:r w:rsidRPr="00D9524E">
              <w:rPr>
                <w:i/>
              </w:rPr>
              <w:t>The conditions governing the possibility of promotional offers as well as the conditions  for participating in promotional competitions or games where such offers, competitions or games are electronically disseminated, shall be clearly spelt out and easily accessible.</w:t>
            </w:r>
          </w:p>
          <w:p w:rsidR="00B46525" w:rsidRDefault="00B46525" w:rsidP="00FB5EE3"/>
        </w:tc>
        <w:tc>
          <w:tcPr>
            <w:tcW w:w="3192" w:type="dxa"/>
          </w:tcPr>
          <w:p w:rsidR="00FB5EE3" w:rsidRDefault="00FB5EE3" w:rsidP="001A5E90">
            <w:pPr>
              <w:shd w:val="clear" w:color="auto" w:fill="FFFFFF"/>
              <w:spacing w:line="315" w:lineRule="atLeast"/>
            </w:pPr>
          </w:p>
        </w:tc>
        <w:tc>
          <w:tcPr>
            <w:tcW w:w="3192" w:type="dxa"/>
          </w:tcPr>
          <w:p w:rsidR="00FB5EE3" w:rsidRDefault="00FB5EE3"/>
        </w:tc>
      </w:tr>
      <w:tr w:rsidR="00FB5EE3" w:rsidTr="00FB5EE3">
        <w:tc>
          <w:tcPr>
            <w:tcW w:w="3192" w:type="dxa"/>
          </w:tcPr>
          <w:p w:rsidR="00FB5EE3" w:rsidRPr="00D9524E" w:rsidRDefault="00FB5EE3" w:rsidP="00FB5EE3">
            <w:pPr>
              <w:rPr>
                <w:b/>
              </w:rPr>
            </w:pPr>
            <w:r w:rsidRPr="00D9524E">
              <w:rPr>
                <w:b/>
              </w:rPr>
              <w:t xml:space="preserve">Article I – 27 </w:t>
            </w:r>
          </w:p>
          <w:p w:rsidR="00FB5EE3" w:rsidRPr="00D9524E" w:rsidRDefault="00FB5EE3" w:rsidP="00FB5EE3">
            <w:pPr>
              <w:rPr>
                <w:i/>
              </w:rPr>
            </w:pPr>
            <w:r w:rsidRPr="00D9524E">
              <w:rPr>
                <w:i/>
              </w:rPr>
              <w:t>Where the legislative provisions of Member States have not laid down other provisions, and where there is no valid agreement between the parties, the judge shall resolve proof related conflicts by determining by all possible means the most plausible claim regardless of the message base employed.</w:t>
            </w:r>
          </w:p>
          <w:p w:rsidR="00FB5EE3" w:rsidRDefault="00FB5EE3"/>
        </w:tc>
        <w:tc>
          <w:tcPr>
            <w:tcW w:w="3192" w:type="dxa"/>
          </w:tcPr>
          <w:p w:rsidR="00FB5EE3" w:rsidRDefault="00FB5EE3" w:rsidP="001A5E90">
            <w:pPr>
              <w:shd w:val="clear" w:color="auto" w:fill="FFFFFF"/>
              <w:spacing w:line="315" w:lineRule="atLeast"/>
            </w:pPr>
          </w:p>
        </w:tc>
        <w:tc>
          <w:tcPr>
            <w:tcW w:w="3192" w:type="dxa"/>
          </w:tcPr>
          <w:p w:rsidR="00FB5EE3" w:rsidRDefault="00FB5EE3"/>
        </w:tc>
      </w:tr>
      <w:tr w:rsidR="00FB5EE3" w:rsidTr="00FB5EE3">
        <w:tc>
          <w:tcPr>
            <w:tcW w:w="3192" w:type="dxa"/>
          </w:tcPr>
          <w:p w:rsidR="00FB5EE3" w:rsidRDefault="00FB5EE3" w:rsidP="00FB5EE3">
            <w:pPr>
              <w:rPr>
                <w:b/>
              </w:rPr>
            </w:pPr>
          </w:p>
          <w:p w:rsidR="00FB5EE3" w:rsidRDefault="00FB5EE3" w:rsidP="00FB5EE3">
            <w:pPr>
              <w:rPr>
                <w:b/>
              </w:rPr>
            </w:pPr>
            <w:r w:rsidRPr="00FB5EE3">
              <w:rPr>
                <w:b/>
              </w:rPr>
              <w:t xml:space="preserve">PART II: </w:t>
            </w:r>
          </w:p>
          <w:p w:rsidR="00FB5EE3" w:rsidRPr="00FB5EE3" w:rsidRDefault="00FB5EE3" w:rsidP="00FB5EE3">
            <w:pPr>
              <w:rPr>
                <w:b/>
              </w:rPr>
            </w:pPr>
            <w:r w:rsidRPr="00FB5EE3">
              <w:rPr>
                <w:b/>
              </w:rPr>
              <w:t xml:space="preserve">PERSONAL DATA PROTECTION </w:t>
            </w:r>
            <w:r w:rsidRPr="00FB5EE3">
              <w:rPr>
                <w:b/>
              </w:rPr>
              <w:cr/>
            </w:r>
          </w:p>
          <w:p w:rsidR="00FB5EE3" w:rsidRDefault="00FB5EE3" w:rsidP="00FB5EE3">
            <w:pPr>
              <w:rPr>
                <w:b/>
              </w:rPr>
            </w:pPr>
            <w:r w:rsidRPr="00D9524E">
              <w:rPr>
                <w:b/>
              </w:rPr>
              <w:t xml:space="preserve">Objectives of this Convention </w:t>
            </w:r>
            <w:r w:rsidRPr="00D9524E">
              <w:rPr>
                <w:b/>
              </w:rPr>
              <w:lastRenderedPageBreak/>
              <w:t>with respect to personal data</w:t>
            </w:r>
          </w:p>
          <w:p w:rsidR="00C7262B" w:rsidRDefault="00C7262B" w:rsidP="00FB5EE3"/>
        </w:tc>
        <w:tc>
          <w:tcPr>
            <w:tcW w:w="3192" w:type="dxa"/>
          </w:tcPr>
          <w:p w:rsidR="00FB5EE3" w:rsidRDefault="00FB5EE3"/>
        </w:tc>
        <w:tc>
          <w:tcPr>
            <w:tcW w:w="3192" w:type="dxa"/>
          </w:tcPr>
          <w:p w:rsidR="00FB5EE3" w:rsidRDefault="00FB5EE3"/>
        </w:tc>
      </w:tr>
      <w:tr w:rsidR="00FB5EE3" w:rsidTr="00FB5EE3">
        <w:tc>
          <w:tcPr>
            <w:tcW w:w="3192" w:type="dxa"/>
          </w:tcPr>
          <w:p w:rsidR="00FB5EE3" w:rsidRDefault="00FB5EE3" w:rsidP="00FB5EE3">
            <w:pPr>
              <w:rPr>
                <w:b/>
              </w:rPr>
            </w:pPr>
          </w:p>
          <w:p w:rsidR="00FB5EE3" w:rsidRPr="00D9524E" w:rsidRDefault="00FB5EE3" w:rsidP="00FB5EE3">
            <w:pPr>
              <w:rPr>
                <w:b/>
              </w:rPr>
            </w:pPr>
            <w:r w:rsidRPr="00D9524E">
              <w:rPr>
                <w:b/>
              </w:rPr>
              <w:t xml:space="preserve">Article II – 2: </w:t>
            </w:r>
          </w:p>
          <w:p w:rsidR="00FB5EE3" w:rsidRPr="00D9524E" w:rsidRDefault="00FB5EE3" w:rsidP="00FB5EE3">
            <w:pPr>
              <w:rPr>
                <w:i/>
              </w:rPr>
            </w:pPr>
            <w:r w:rsidRPr="00D9524E">
              <w:rPr>
                <w:i/>
              </w:rPr>
              <w:t xml:space="preserve">Each Member State of the African Union shall put in place a legal framework with a view to establishing a mechanism to combat breaches of private life likely to arise from the gathering, processing, transmission, storage and use of personal data. </w:t>
            </w:r>
          </w:p>
          <w:p w:rsidR="00FB5EE3" w:rsidRDefault="00FB5EE3">
            <w:pPr>
              <w:rPr>
                <w:i/>
              </w:rPr>
            </w:pPr>
            <w:r w:rsidRPr="00D9524E">
              <w:rPr>
                <w:i/>
              </w:rPr>
              <w:t xml:space="preserve">The mechanism so established shall ensure that any data processing, in whatsoever form, respects the freedoms and fundamental rights of physical persons while recognizing the prerogatives of the State, the rights of local communities and the target for which the businesses were established. </w:t>
            </w:r>
            <w:r w:rsidRPr="00D9524E">
              <w:rPr>
                <w:i/>
              </w:rPr>
              <w:cr/>
            </w:r>
          </w:p>
          <w:p w:rsidR="00C7262B" w:rsidRPr="00C7262B" w:rsidRDefault="00C7262B">
            <w:pPr>
              <w:rPr>
                <w:i/>
              </w:rPr>
            </w:pPr>
          </w:p>
        </w:tc>
        <w:tc>
          <w:tcPr>
            <w:tcW w:w="3192" w:type="dxa"/>
          </w:tcPr>
          <w:p w:rsidR="00FB5EE3" w:rsidRDefault="00FB5EE3"/>
        </w:tc>
        <w:tc>
          <w:tcPr>
            <w:tcW w:w="3192" w:type="dxa"/>
          </w:tcPr>
          <w:p w:rsidR="00FB5EE3" w:rsidRDefault="00FB5EE3"/>
        </w:tc>
      </w:tr>
      <w:tr w:rsidR="00FB5EE3" w:rsidTr="00FB5EE3">
        <w:tc>
          <w:tcPr>
            <w:tcW w:w="3192" w:type="dxa"/>
          </w:tcPr>
          <w:p w:rsidR="00FB5EE3" w:rsidRDefault="00FB5EE3" w:rsidP="00FB5EE3">
            <w:pPr>
              <w:rPr>
                <w:b/>
              </w:rPr>
            </w:pPr>
          </w:p>
          <w:p w:rsidR="00FB5EE3" w:rsidRPr="00D9524E" w:rsidRDefault="00FB5EE3" w:rsidP="00FB5EE3">
            <w:pPr>
              <w:rPr>
                <w:i/>
              </w:rPr>
            </w:pPr>
            <w:r w:rsidRPr="00D9524E">
              <w:rPr>
                <w:b/>
              </w:rPr>
              <w:t>Article II-6, II-7, 11-8, II-11, II-12, II-13 refer to a Protection Authority</w:t>
            </w:r>
            <w:r w:rsidRPr="00D9524E">
              <w:t xml:space="preserve"> which is meant to establish standards for data protection. Article II – 14</w:t>
            </w:r>
            <w:r w:rsidRPr="00D9524E">
              <w:rPr>
                <w:i/>
              </w:rPr>
              <w:t xml:space="preserve"> provides for each Member State of the African Union to establish an authority with responsibility to protect personal data.  It</w:t>
            </w:r>
            <w:r w:rsidRPr="00D9524E">
              <w:t xml:space="preserve"> </w:t>
            </w:r>
            <w:r w:rsidRPr="00D9524E">
              <w:rPr>
                <w:i/>
              </w:rPr>
              <w:t xml:space="preserve">shall be an independent administrative authority with the task of ensuring that the processing of personal data is conducted in accordance with domestic legislations. </w:t>
            </w:r>
          </w:p>
          <w:p w:rsidR="00FB5EE3" w:rsidRPr="00D9524E" w:rsidRDefault="00FB5EE3" w:rsidP="00FB5EE3">
            <w:r w:rsidRPr="00D9524E">
              <w:t xml:space="preserve">In article II-17 states that </w:t>
            </w:r>
            <w:r w:rsidRPr="00D9524E">
              <w:rPr>
                <w:i/>
              </w:rPr>
              <w:t xml:space="preserve">Sworn agents may be invited to participate in audit missions in accordance with extant provisions in Member States of the African Union. </w:t>
            </w:r>
            <w:r w:rsidRPr="00D9524E">
              <w:rPr>
                <w:i/>
              </w:rPr>
              <w:cr/>
            </w:r>
          </w:p>
          <w:p w:rsidR="00FB5EE3" w:rsidRDefault="00FB5EE3"/>
        </w:tc>
        <w:tc>
          <w:tcPr>
            <w:tcW w:w="3192" w:type="dxa"/>
          </w:tcPr>
          <w:p w:rsidR="00FB5EE3" w:rsidRDefault="00FB5EE3"/>
        </w:tc>
        <w:tc>
          <w:tcPr>
            <w:tcW w:w="3192" w:type="dxa"/>
          </w:tcPr>
          <w:p w:rsidR="00FB5EE3" w:rsidRDefault="00FB5EE3"/>
        </w:tc>
      </w:tr>
      <w:tr w:rsidR="00FB5EE3" w:rsidTr="00FB5EE3">
        <w:tc>
          <w:tcPr>
            <w:tcW w:w="3192" w:type="dxa"/>
          </w:tcPr>
          <w:p w:rsidR="00C7262B" w:rsidRDefault="00C7262B" w:rsidP="00FB5EE3">
            <w:pPr>
              <w:rPr>
                <w:b/>
              </w:rPr>
            </w:pPr>
          </w:p>
          <w:p w:rsidR="00FB5EE3" w:rsidRPr="00D9524E" w:rsidRDefault="00FB5EE3" w:rsidP="00FB5EE3">
            <w:pPr>
              <w:rPr>
                <w:b/>
              </w:rPr>
            </w:pPr>
            <w:r w:rsidRPr="00D9524E">
              <w:rPr>
                <w:b/>
              </w:rPr>
              <w:t xml:space="preserve">Article II – 20: </w:t>
            </w:r>
          </w:p>
          <w:p w:rsidR="00FB5EE3" w:rsidRPr="00D9524E" w:rsidRDefault="00FB5EE3" w:rsidP="00FB5EE3">
            <w:r w:rsidRPr="00D9524E">
              <w:rPr>
                <w:i/>
              </w:rPr>
              <w:t xml:space="preserve">…Members of the protection authority shall not receive instructions from any authority in the exercise of their functions. </w:t>
            </w:r>
            <w:r w:rsidRPr="00D9524E">
              <w:t>And</w:t>
            </w:r>
          </w:p>
          <w:p w:rsidR="00C7262B" w:rsidRDefault="00C7262B" w:rsidP="00FB5EE3">
            <w:pPr>
              <w:rPr>
                <w:b/>
              </w:rPr>
            </w:pPr>
          </w:p>
          <w:p w:rsidR="00FB5EE3" w:rsidRPr="00D9524E" w:rsidRDefault="00FB5EE3" w:rsidP="00FB5EE3">
            <w:pPr>
              <w:rPr>
                <w:b/>
              </w:rPr>
            </w:pPr>
            <w:r w:rsidRPr="00D9524E">
              <w:rPr>
                <w:b/>
              </w:rPr>
              <w:t xml:space="preserve">Article II – 21: </w:t>
            </w:r>
          </w:p>
          <w:p w:rsidR="00FB5EE3" w:rsidRPr="00D9524E" w:rsidRDefault="00FB5EE3" w:rsidP="00FB5EE3">
            <w:pPr>
              <w:rPr>
                <w:i/>
              </w:rPr>
            </w:pPr>
            <w:r w:rsidRPr="00D9524E">
              <w:rPr>
                <w:i/>
              </w:rPr>
              <w:t xml:space="preserve">Member States are engaged to provide the national protection authority human, technical and financial resources necessary to accomplish their mission. </w:t>
            </w:r>
            <w:r w:rsidRPr="00D9524E">
              <w:rPr>
                <w:i/>
              </w:rPr>
              <w:cr/>
            </w:r>
          </w:p>
          <w:p w:rsidR="00FB5EE3" w:rsidRDefault="00FB5EE3"/>
        </w:tc>
        <w:tc>
          <w:tcPr>
            <w:tcW w:w="3192" w:type="dxa"/>
          </w:tcPr>
          <w:p w:rsidR="00FB5EE3" w:rsidRDefault="00FB5EE3"/>
        </w:tc>
        <w:tc>
          <w:tcPr>
            <w:tcW w:w="3192" w:type="dxa"/>
          </w:tcPr>
          <w:p w:rsidR="00FB5EE3" w:rsidRDefault="00FB5EE3"/>
        </w:tc>
      </w:tr>
      <w:tr w:rsidR="00FB5EE3" w:rsidTr="00FB5EE3">
        <w:tc>
          <w:tcPr>
            <w:tcW w:w="3192" w:type="dxa"/>
          </w:tcPr>
          <w:p w:rsidR="00C7262B" w:rsidRDefault="00C7262B" w:rsidP="00FB5EE3">
            <w:pPr>
              <w:rPr>
                <w:b/>
              </w:rPr>
            </w:pPr>
          </w:p>
          <w:p w:rsidR="00FB5EE3" w:rsidRPr="00D9524E" w:rsidRDefault="00FB5EE3" w:rsidP="00FB5EE3">
            <w:r w:rsidRPr="00D9524E">
              <w:rPr>
                <w:b/>
              </w:rPr>
              <w:t xml:space="preserve">Article II – 28 to II-34 </w:t>
            </w:r>
            <w:r w:rsidRPr="00D9524E">
              <w:t>outlines six principles governing the processing of personal data namely:</w:t>
            </w:r>
          </w:p>
          <w:p w:rsidR="00FB5EE3" w:rsidRPr="00D9524E" w:rsidRDefault="00FB5EE3" w:rsidP="00FB5EE3">
            <w:pPr>
              <w:rPr>
                <w:b/>
              </w:rPr>
            </w:pPr>
            <w:r w:rsidRPr="00D9524E">
              <w:t>Consent and of legitimacy,</w:t>
            </w:r>
          </w:p>
          <w:p w:rsidR="00FB5EE3" w:rsidRPr="00D9524E" w:rsidRDefault="00FB5EE3" w:rsidP="00FB5EE3">
            <w:pPr>
              <w:rPr>
                <w:b/>
              </w:rPr>
            </w:pPr>
            <w:r w:rsidRPr="00D9524E">
              <w:t>Honesty,</w:t>
            </w:r>
          </w:p>
          <w:p w:rsidR="00FB5EE3" w:rsidRPr="00D9524E" w:rsidRDefault="00FB5EE3" w:rsidP="00FB5EE3">
            <w:r w:rsidRPr="00D9524E">
              <w:t>Objective, relevance and conservation of processed personal data,</w:t>
            </w:r>
          </w:p>
          <w:p w:rsidR="00FB5EE3" w:rsidRPr="00D9524E" w:rsidRDefault="00FB5EE3" w:rsidP="00FB5EE3">
            <w:r w:rsidRPr="00D9524E">
              <w:t xml:space="preserve"> Accuracy,</w:t>
            </w:r>
          </w:p>
          <w:p w:rsidR="00FB5EE3" w:rsidRPr="00D9524E" w:rsidRDefault="00FB5EE3" w:rsidP="00FB5EE3">
            <w:r w:rsidRPr="00D9524E">
              <w:t xml:space="preserve">Transparency and </w:t>
            </w:r>
          </w:p>
          <w:p w:rsidR="00FB5EE3" w:rsidRPr="00D9524E" w:rsidRDefault="00FB5EE3" w:rsidP="00FB5EE3">
            <w:r w:rsidRPr="00D9524E">
              <w:t xml:space="preserve"> Confidentiality and security of personal data.</w:t>
            </w:r>
          </w:p>
          <w:p w:rsidR="00FB5EE3" w:rsidRPr="00D9524E" w:rsidRDefault="00FB5EE3" w:rsidP="00FB5EE3">
            <w:r w:rsidRPr="00D9524E">
              <w:t xml:space="preserve">Under each of the specific principles, detailed explanation of how each should be undertaken is offered. </w:t>
            </w:r>
          </w:p>
          <w:p w:rsidR="00FB5EE3" w:rsidRDefault="00FB5EE3"/>
        </w:tc>
        <w:tc>
          <w:tcPr>
            <w:tcW w:w="3192" w:type="dxa"/>
          </w:tcPr>
          <w:p w:rsidR="00FB5EE3" w:rsidRDefault="00FB5EE3"/>
        </w:tc>
        <w:tc>
          <w:tcPr>
            <w:tcW w:w="3192" w:type="dxa"/>
          </w:tcPr>
          <w:p w:rsidR="00FB5EE3" w:rsidRDefault="00FB5EE3"/>
        </w:tc>
      </w:tr>
      <w:tr w:rsidR="00FB5EE3" w:rsidTr="00FB5EE3">
        <w:tc>
          <w:tcPr>
            <w:tcW w:w="3192" w:type="dxa"/>
          </w:tcPr>
          <w:p w:rsidR="00FB5EE3" w:rsidRDefault="00FB5EE3">
            <w:pPr>
              <w:rPr>
                <w:b/>
              </w:rPr>
            </w:pPr>
          </w:p>
          <w:p w:rsidR="00FB5EE3" w:rsidRDefault="00FB5EE3">
            <w:pPr>
              <w:rPr>
                <w:b/>
              </w:rPr>
            </w:pPr>
            <w:r w:rsidRPr="00D9524E">
              <w:rPr>
                <w:b/>
              </w:rPr>
              <w:t>PROMOTING CYBERSECURITY AND COMBATING CYBERCRIME</w:t>
            </w:r>
          </w:p>
          <w:p w:rsidR="00FB5EE3" w:rsidRDefault="00FB5EE3"/>
        </w:tc>
        <w:tc>
          <w:tcPr>
            <w:tcW w:w="3192" w:type="dxa"/>
          </w:tcPr>
          <w:p w:rsidR="00FB5EE3" w:rsidRDefault="00FB5EE3"/>
        </w:tc>
        <w:tc>
          <w:tcPr>
            <w:tcW w:w="3192" w:type="dxa"/>
          </w:tcPr>
          <w:p w:rsidR="00FB5EE3" w:rsidRDefault="00FB5EE3"/>
        </w:tc>
      </w:tr>
      <w:tr w:rsidR="00FB5EE3" w:rsidTr="00FB5EE3">
        <w:tc>
          <w:tcPr>
            <w:tcW w:w="3192" w:type="dxa"/>
          </w:tcPr>
          <w:p w:rsidR="00FB5EE3" w:rsidRDefault="00FB5EE3" w:rsidP="00FB5EE3">
            <w:pPr>
              <w:rPr>
                <w:b/>
              </w:rPr>
            </w:pPr>
          </w:p>
          <w:p w:rsidR="00FB5EE3" w:rsidRPr="00D9524E" w:rsidRDefault="00FB5EE3" w:rsidP="00FB5EE3">
            <w:pPr>
              <w:rPr>
                <w:b/>
              </w:rPr>
            </w:pPr>
            <w:r w:rsidRPr="00D9524E">
              <w:rPr>
                <w:b/>
              </w:rPr>
              <w:t xml:space="preserve">Article III – 14: Harmonization </w:t>
            </w:r>
          </w:p>
          <w:p w:rsidR="00FB5EE3" w:rsidRPr="00C7262B" w:rsidRDefault="00FB5EE3" w:rsidP="00C7262B">
            <w:pPr>
              <w:pStyle w:val="ListParagraph"/>
              <w:numPr>
                <w:ilvl w:val="0"/>
                <w:numId w:val="1"/>
              </w:numPr>
              <w:rPr>
                <w:i/>
              </w:rPr>
            </w:pPr>
            <w:r w:rsidRPr="00C7262B">
              <w:rPr>
                <w:i/>
              </w:rPr>
              <w:t xml:space="preserve">Member States have to undertake necessary measures to ensure that the legislative measures and / or regulations adopted to fight against cybercrime enhance the </w:t>
            </w:r>
            <w:r w:rsidRPr="00C7262B">
              <w:rPr>
                <w:i/>
              </w:rPr>
              <w:lastRenderedPageBreak/>
              <w:t>possibility of regional harmonization of these measures and respect the principle of double criminality.</w:t>
            </w:r>
          </w:p>
          <w:p w:rsidR="00C7262B" w:rsidRDefault="00C7262B" w:rsidP="00C7262B">
            <w:pPr>
              <w:pStyle w:val="ListParagraph"/>
              <w:numPr>
                <w:ilvl w:val="0"/>
                <w:numId w:val="1"/>
              </w:numPr>
            </w:pPr>
          </w:p>
        </w:tc>
        <w:tc>
          <w:tcPr>
            <w:tcW w:w="3192" w:type="dxa"/>
          </w:tcPr>
          <w:p w:rsidR="00FB5EE3" w:rsidRDefault="00FB5EE3"/>
        </w:tc>
        <w:tc>
          <w:tcPr>
            <w:tcW w:w="3192" w:type="dxa"/>
          </w:tcPr>
          <w:p w:rsidR="00FB5EE3" w:rsidRDefault="00FB5EE3"/>
        </w:tc>
      </w:tr>
      <w:tr w:rsidR="00FB5EE3" w:rsidTr="00FB5EE3">
        <w:tc>
          <w:tcPr>
            <w:tcW w:w="3192" w:type="dxa"/>
          </w:tcPr>
          <w:p w:rsidR="00C7262B" w:rsidRDefault="00C7262B" w:rsidP="00FB5EE3">
            <w:pPr>
              <w:rPr>
                <w:b/>
              </w:rPr>
            </w:pPr>
          </w:p>
          <w:p w:rsidR="00FB5EE3" w:rsidRPr="00D9524E" w:rsidRDefault="00FB5EE3" w:rsidP="00FB5EE3">
            <w:r w:rsidRPr="00D9524E">
              <w:rPr>
                <w:b/>
              </w:rPr>
              <w:t xml:space="preserve">Article III – 48 </w:t>
            </w:r>
          </w:p>
          <w:p w:rsidR="00FB5EE3" w:rsidRPr="00D9524E" w:rsidRDefault="00FB5EE3" w:rsidP="00FB5EE3">
            <w:pPr>
              <w:rPr>
                <w:i/>
              </w:rPr>
            </w:pPr>
            <w:r w:rsidRPr="00D9524E">
              <w:rPr>
                <w:i/>
              </w:rPr>
              <w:t>Each Member State of the African Union have to take necessary legislative measures to ensure that, in the case of conviction for an offense committed by means of digital communication facility, the competent jurisdiction or the judge handling the case gives a ruling imposing additional punishment.</w:t>
            </w:r>
          </w:p>
          <w:p w:rsidR="00FB5EE3" w:rsidRDefault="00FB5EE3"/>
        </w:tc>
        <w:tc>
          <w:tcPr>
            <w:tcW w:w="3192" w:type="dxa"/>
          </w:tcPr>
          <w:p w:rsidR="00FB5EE3" w:rsidRDefault="00FB5EE3"/>
        </w:tc>
        <w:tc>
          <w:tcPr>
            <w:tcW w:w="3192" w:type="dxa"/>
          </w:tcPr>
          <w:p w:rsidR="00FB5EE3" w:rsidRDefault="00FB5EE3"/>
        </w:tc>
      </w:tr>
      <w:tr w:rsidR="00AC5A4F" w:rsidTr="00FB5EE3">
        <w:tc>
          <w:tcPr>
            <w:tcW w:w="3192" w:type="dxa"/>
          </w:tcPr>
          <w:p w:rsidR="00AC5A4F" w:rsidRDefault="00AC5A4F" w:rsidP="00FB5EE3">
            <w:pPr>
              <w:rPr>
                <w:b/>
              </w:rPr>
            </w:pPr>
          </w:p>
          <w:p w:rsidR="00635255" w:rsidRDefault="00635255" w:rsidP="00FB5EE3">
            <w:pPr>
              <w:rPr>
                <w:b/>
              </w:rPr>
            </w:pPr>
            <w:r>
              <w:rPr>
                <w:b/>
              </w:rPr>
              <w:t>Other issues</w:t>
            </w:r>
          </w:p>
        </w:tc>
        <w:tc>
          <w:tcPr>
            <w:tcW w:w="3192" w:type="dxa"/>
          </w:tcPr>
          <w:p w:rsidR="00AC5A4F" w:rsidRPr="00AC5A4F" w:rsidRDefault="00635255" w:rsidP="00AC5A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eastAsia="Times New Roman" w:cs="Courier New"/>
              </w:rPr>
            </w:pPr>
            <w:r>
              <w:rPr>
                <w:rFonts w:eastAsia="Times New Roman" w:cs="Courier New"/>
              </w:rPr>
              <w:t>1. H</w:t>
            </w:r>
            <w:r w:rsidR="00AC5A4F" w:rsidRPr="00AC5A4F">
              <w:rPr>
                <w:rFonts w:eastAsia="Times New Roman" w:cs="Courier New"/>
              </w:rPr>
              <w:t xml:space="preserve">ow </w:t>
            </w:r>
            <w:r>
              <w:rPr>
                <w:rFonts w:eastAsia="Times New Roman" w:cs="Courier New"/>
              </w:rPr>
              <w:t xml:space="preserve">will </w:t>
            </w:r>
            <w:r w:rsidR="00AC5A4F" w:rsidRPr="00AC5A4F">
              <w:rPr>
                <w:rFonts w:eastAsia="Times New Roman" w:cs="Courier New"/>
              </w:rPr>
              <w:t xml:space="preserve">cross-border crimes </w:t>
            </w:r>
            <w:r>
              <w:rPr>
                <w:rFonts w:eastAsia="Times New Roman" w:cs="Courier New"/>
              </w:rPr>
              <w:t>be prosecuted?</w:t>
            </w:r>
            <w:r>
              <w:rPr>
                <w:rFonts w:eastAsia="Times New Roman" w:cs="Courier New"/>
              </w:rPr>
              <w:br/>
              <w:t>2. W</w:t>
            </w:r>
            <w:r w:rsidR="00AC5A4F" w:rsidRPr="00AC5A4F">
              <w:rPr>
                <w:rFonts w:eastAsia="Times New Roman" w:cs="Courier New"/>
              </w:rPr>
              <w:t>here this draft is in contradiction to local laws, which one will</w:t>
            </w:r>
            <w:r w:rsidR="00AC5A4F" w:rsidRPr="00AC5A4F">
              <w:rPr>
                <w:rFonts w:eastAsia="Times New Roman" w:cs="Courier New"/>
              </w:rPr>
              <w:br/>
              <w:t>take precedence?</w:t>
            </w:r>
          </w:p>
          <w:p w:rsidR="00AC5A4F" w:rsidRDefault="00AC5A4F"/>
        </w:tc>
        <w:tc>
          <w:tcPr>
            <w:tcW w:w="3192" w:type="dxa"/>
          </w:tcPr>
          <w:p w:rsidR="00AC5A4F" w:rsidRDefault="00AC5A4F"/>
        </w:tc>
      </w:tr>
    </w:tbl>
    <w:p w:rsidR="00C7262B" w:rsidRDefault="00C7262B"/>
    <w:sectPr w:rsidR="00C7262B" w:rsidSect="00B545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A2624"/>
    <w:multiLevelType w:val="hybridMultilevel"/>
    <w:tmpl w:val="6B5C3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EE3"/>
    <w:rsid w:val="001A5E90"/>
    <w:rsid w:val="004D675E"/>
    <w:rsid w:val="00543D02"/>
    <w:rsid w:val="00607683"/>
    <w:rsid w:val="00635255"/>
    <w:rsid w:val="00710CE6"/>
    <w:rsid w:val="00717BBA"/>
    <w:rsid w:val="007C2E81"/>
    <w:rsid w:val="009F0984"/>
    <w:rsid w:val="00AC5A4F"/>
    <w:rsid w:val="00B46525"/>
    <w:rsid w:val="00B5451A"/>
    <w:rsid w:val="00C7262B"/>
    <w:rsid w:val="00FB5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262B"/>
    <w:pPr>
      <w:ind w:left="720"/>
      <w:contextualSpacing/>
    </w:pPr>
  </w:style>
  <w:style w:type="paragraph" w:styleId="HTMLPreformatted">
    <w:name w:val="HTML Preformatted"/>
    <w:basedOn w:val="Normal"/>
    <w:link w:val="HTMLPreformattedChar"/>
    <w:uiPriority w:val="99"/>
    <w:semiHidden/>
    <w:unhideWhenUsed/>
    <w:rsid w:val="00AC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5A4F"/>
    <w:rPr>
      <w:rFonts w:ascii="Courier New" w:eastAsia="Times New Roman" w:hAnsi="Courier New" w:cs="Courier New"/>
      <w:sz w:val="20"/>
      <w:szCs w:val="20"/>
    </w:rPr>
  </w:style>
  <w:style w:type="character" w:styleId="Hyperlink">
    <w:name w:val="Hyperlink"/>
    <w:basedOn w:val="DefaultParagraphFont"/>
    <w:uiPriority w:val="99"/>
    <w:unhideWhenUsed/>
    <w:rsid w:val="00710CE6"/>
    <w:rPr>
      <w:color w:val="0000FF" w:themeColor="hyperlink"/>
      <w:u w:val="single"/>
    </w:rPr>
  </w:style>
  <w:style w:type="character" w:customStyle="1" w:styleId="apple-converted-space">
    <w:name w:val="apple-converted-space"/>
    <w:basedOn w:val="DefaultParagraphFont"/>
    <w:rsid w:val="00710CE6"/>
  </w:style>
</w:styles>
</file>

<file path=word/webSettings.xml><?xml version="1.0" encoding="utf-8"?>
<w:webSettings xmlns:r="http://schemas.openxmlformats.org/officeDocument/2006/relationships" xmlns:w="http://schemas.openxmlformats.org/wordprocessingml/2006/main">
  <w:divs>
    <w:div w:id="1417823684">
      <w:bodyDiv w:val="1"/>
      <w:marLeft w:val="0"/>
      <w:marRight w:val="0"/>
      <w:marTop w:val="0"/>
      <w:marBottom w:val="0"/>
      <w:divBdr>
        <w:top w:val="none" w:sz="0" w:space="0" w:color="auto"/>
        <w:left w:val="none" w:sz="0" w:space="0" w:color="auto"/>
        <w:bottom w:val="none" w:sz="0" w:space="0" w:color="auto"/>
        <w:right w:val="none" w:sz="0" w:space="0" w:color="auto"/>
      </w:divBdr>
      <w:divsChild>
        <w:div w:id="865871290">
          <w:marLeft w:val="0"/>
          <w:marRight w:val="0"/>
          <w:marTop w:val="0"/>
          <w:marBottom w:val="0"/>
          <w:divBdr>
            <w:top w:val="none" w:sz="0" w:space="0" w:color="auto"/>
            <w:left w:val="none" w:sz="0" w:space="0" w:color="auto"/>
            <w:bottom w:val="none" w:sz="0" w:space="0" w:color="auto"/>
            <w:right w:val="none" w:sz="0" w:space="0" w:color="auto"/>
          </w:divBdr>
        </w:div>
      </w:divsChild>
    </w:div>
    <w:div w:id="1598176447">
      <w:bodyDiv w:val="1"/>
      <w:marLeft w:val="0"/>
      <w:marRight w:val="0"/>
      <w:marTop w:val="0"/>
      <w:marBottom w:val="0"/>
      <w:divBdr>
        <w:top w:val="none" w:sz="0" w:space="0" w:color="auto"/>
        <w:left w:val="none" w:sz="0" w:space="0" w:color="auto"/>
        <w:bottom w:val="none" w:sz="0" w:space="0" w:color="auto"/>
        <w:right w:val="none" w:sz="0" w:space="0" w:color="auto"/>
      </w:divBdr>
    </w:div>
    <w:div w:id="1762605547">
      <w:bodyDiv w:val="1"/>
      <w:marLeft w:val="0"/>
      <w:marRight w:val="0"/>
      <w:marTop w:val="0"/>
      <w:marBottom w:val="0"/>
      <w:divBdr>
        <w:top w:val="none" w:sz="0" w:space="0" w:color="auto"/>
        <w:left w:val="none" w:sz="0" w:space="0" w:color="auto"/>
        <w:bottom w:val="none" w:sz="0" w:space="0" w:color="auto"/>
        <w:right w:val="none" w:sz="0" w:space="0" w:color="auto"/>
      </w:divBdr>
      <w:divsChild>
        <w:div w:id="266276903">
          <w:marLeft w:val="0"/>
          <w:marRight w:val="0"/>
          <w:marTop w:val="0"/>
          <w:marBottom w:val="0"/>
          <w:divBdr>
            <w:top w:val="none" w:sz="0" w:space="0" w:color="auto"/>
            <w:left w:val="none" w:sz="0" w:space="0" w:color="auto"/>
            <w:bottom w:val="none" w:sz="0" w:space="0" w:color="auto"/>
            <w:right w:val="none" w:sz="0" w:space="0" w:color="auto"/>
          </w:divBdr>
        </w:div>
        <w:div w:id="647901187">
          <w:marLeft w:val="0"/>
          <w:marRight w:val="0"/>
          <w:marTop w:val="0"/>
          <w:marBottom w:val="0"/>
          <w:divBdr>
            <w:top w:val="none" w:sz="0" w:space="0" w:color="auto"/>
            <w:left w:val="none" w:sz="0" w:space="0" w:color="auto"/>
            <w:bottom w:val="none" w:sz="0" w:space="0" w:color="auto"/>
            <w:right w:val="none" w:sz="0" w:space="0" w:color="auto"/>
          </w:divBdr>
        </w:div>
      </w:divsChild>
    </w:div>
    <w:div w:id="1860002455">
      <w:bodyDiv w:val="1"/>
      <w:marLeft w:val="0"/>
      <w:marRight w:val="0"/>
      <w:marTop w:val="0"/>
      <w:marBottom w:val="0"/>
      <w:divBdr>
        <w:top w:val="none" w:sz="0" w:space="0" w:color="auto"/>
        <w:left w:val="none" w:sz="0" w:space="0" w:color="auto"/>
        <w:bottom w:val="none" w:sz="0" w:space="0" w:color="auto"/>
        <w:right w:val="none" w:sz="0" w:space="0" w:color="auto"/>
      </w:divBdr>
      <w:divsChild>
        <w:div w:id="982613793">
          <w:marLeft w:val="0"/>
          <w:marRight w:val="0"/>
          <w:marTop w:val="0"/>
          <w:marBottom w:val="0"/>
          <w:divBdr>
            <w:top w:val="none" w:sz="0" w:space="0" w:color="auto"/>
            <w:left w:val="none" w:sz="0" w:space="0" w:color="auto"/>
            <w:bottom w:val="none" w:sz="0" w:space="0" w:color="auto"/>
            <w:right w:val="none" w:sz="0" w:space="0" w:color="auto"/>
          </w:divBdr>
        </w:div>
        <w:div w:id="1264995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Manugistics, Inc</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Githaiga</dc:creator>
  <cp:keywords/>
  <dc:description/>
  <cp:lastModifiedBy>Grace Githaiga</cp:lastModifiedBy>
  <cp:revision>4</cp:revision>
  <dcterms:created xsi:type="dcterms:W3CDTF">2013-11-21T20:34:00Z</dcterms:created>
  <dcterms:modified xsi:type="dcterms:W3CDTF">2013-11-25T20:09:00Z</dcterms:modified>
</cp:coreProperties>
</file>